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2" w:lineRule="atLeast"/>
        <w:ind w:left="0" w:right="0" w:firstLine="420"/>
        <w:jc w:val="left"/>
        <w:rPr>
          <w:color w:val="404040"/>
          <w:sz w:val="44"/>
          <w:szCs w:val="44"/>
        </w:rPr>
      </w:pPr>
      <w:r>
        <w:rPr>
          <w:color w:val="404040"/>
          <w:sz w:val="16"/>
          <w:szCs w:val="16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2" w:lineRule="atLeast"/>
        <w:ind w:left="0" w:right="0" w:firstLine="420"/>
        <w:jc w:val="center"/>
        <w:rPr>
          <w:color w:val="404040"/>
          <w:sz w:val="44"/>
          <w:szCs w:val="44"/>
        </w:rPr>
      </w:pPr>
      <w:r>
        <w:rPr>
          <w:color w:val="404040"/>
          <w:sz w:val="24"/>
          <w:szCs w:val="24"/>
          <w:bdr w:val="none" w:color="auto" w:sz="0" w:space="0"/>
          <w:shd w:val="clear" w:fill="FFFFFF"/>
        </w:rPr>
        <w:t>新型冠状病毒核酸检测项目价格表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2" w:lineRule="atLeast"/>
        <w:ind w:left="0" w:right="0" w:firstLine="420"/>
        <w:jc w:val="left"/>
        <w:rPr>
          <w:color w:val="404040"/>
        </w:rPr>
      </w:pPr>
    </w:p>
    <w:tbl>
      <w:tblPr>
        <w:tblpPr w:vertAnchor="text" w:tblpXSpec="left"/>
        <w:tblW w:w="15635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single" w:color="404040" w:sz="4" w:space="0"/>
          <w:right w:val="single" w:color="40404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555"/>
        <w:gridCol w:w="2961"/>
        <w:gridCol w:w="982"/>
        <w:gridCol w:w="1106"/>
        <w:gridCol w:w="832"/>
        <w:gridCol w:w="1146"/>
        <w:gridCol w:w="3207"/>
        <w:gridCol w:w="791"/>
        <w:gridCol w:w="1828"/>
      </w:tblGrid>
      <w:tr>
        <w:tblPrEx>
          <w:tblBorders>
            <w:top w:val="none" w:color="auto" w:sz="0" w:space="0"/>
            <w:left w:val="none" w:color="auto" w:sz="0" w:space="0"/>
            <w:bottom w:val="single" w:color="404040" w:sz="4" w:space="0"/>
            <w:right w:val="single" w:color="40404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tblCellSpacing w:w="0" w:type="dxa"/>
        </w:trPr>
        <w:tc>
          <w:tcPr>
            <w:tcW w:w="1227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项目编码</w:t>
            </w:r>
          </w:p>
        </w:tc>
        <w:tc>
          <w:tcPr>
            <w:tcW w:w="1555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项目名称</w:t>
            </w:r>
          </w:p>
        </w:tc>
        <w:tc>
          <w:tcPr>
            <w:tcW w:w="2961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项目内涵</w:t>
            </w:r>
          </w:p>
        </w:tc>
        <w:tc>
          <w:tcPr>
            <w:tcW w:w="982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除外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内容</w:t>
            </w:r>
          </w:p>
        </w:tc>
        <w:tc>
          <w:tcPr>
            <w:tcW w:w="1106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计价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单位</w:t>
            </w:r>
          </w:p>
        </w:tc>
        <w:tc>
          <w:tcPr>
            <w:tcW w:w="832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计价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说明</w:t>
            </w:r>
          </w:p>
        </w:tc>
        <w:tc>
          <w:tcPr>
            <w:tcW w:w="1146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价格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（元）</w:t>
            </w:r>
          </w:p>
        </w:tc>
        <w:tc>
          <w:tcPr>
            <w:tcW w:w="3207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bookmarkStart w:id="0" w:name="_GoBack"/>
            <w:bookmarkEnd w:id="0"/>
            <w:r>
              <w:rPr>
                <w:color w:val="404040"/>
                <w:bdr w:val="none" w:color="auto" w:sz="0" w:space="0"/>
              </w:rPr>
              <w:t>备注</w:t>
            </w:r>
          </w:p>
        </w:tc>
        <w:tc>
          <w:tcPr>
            <w:tcW w:w="791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医保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类别</w:t>
            </w:r>
          </w:p>
        </w:tc>
        <w:tc>
          <w:tcPr>
            <w:tcW w:w="1828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工伤保险类别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404040" w:sz="4" w:space="0"/>
            <w:right w:val="single" w:color="40404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9" w:hRule="atLeast"/>
          <w:tblCellSpacing w:w="0" w:type="dxa"/>
        </w:trPr>
        <w:tc>
          <w:tcPr>
            <w:tcW w:w="1227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CLAE8000-L</w:t>
            </w:r>
          </w:p>
        </w:tc>
        <w:tc>
          <w:tcPr>
            <w:tcW w:w="1555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新型冠状病毒核酸检测</w:t>
            </w:r>
          </w:p>
        </w:tc>
        <w:tc>
          <w:tcPr>
            <w:tcW w:w="2961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样本类型 ：各种标本。样本采集、签收、处理（据标本类型不同进行相应的前处理），提取模板RNA，与阴、阳性对照及质控品同时进行实时扩增，分析扩增产物，判断并审核结果，录入实验室信息系统或人工登记，发送报告；按规定处理废弃物；接受临床相关咨询   。</w:t>
            </w:r>
          </w:p>
        </w:tc>
        <w:tc>
          <w:tcPr>
            <w:tcW w:w="982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  <w:tc>
          <w:tcPr>
            <w:tcW w:w="1106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次</w:t>
            </w:r>
          </w:p>
        </w:tc>
        <w:tc>
          <w:tcPr>
            <w:tcW w:w="832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</w:p>
        </w:tc>
        <w:tc>
          <w:tcPr>
            <w:tcW w:w="1146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80</w:t>
            </w:r>
          </w:p>
        </w:tc>
        <w:tc>
          <w:tcPr>
            <w:tcW w:w="3207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根据疫情需要，按照市卫生健康部门技术要求和标准实施混合检测时，5个样本混合检测，每样本按不高于30元收费；10个样本混合检测，每样本按不高于20 元收费。</w:t>
            </w:r>
          </w:p>
        </w:tc>
        <w:tc>
          <w:tcPr>
            <w:tcW w:w="791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甲</w:t>
            </w:r>
          </w:p>
        </w:tc>
        <w:tc>
          <w:tcPr>
            <w:tcW w:w="1828" w:type="dxa"/>
            <w:tcBorders>
              <w:top w:val="single" w:color="404040" w:sz="4" w:space="0"/>
              <w:left w:val="single" w:color="404040" w:sz="4" w:space="0"/>
              <w:bottom w:val="nil"/>
              <w:right w:val="nil"/>
            </w:tcBorders>
            <w:shd w:val="clear" w:color="auto" w:fill="FFFFFF"/>
            <w:tcMar>
              <w:left w:w="160" w:type="dxa"/>
              <w:right w:w="1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2" w:lineRule="atLeast"/>
        <w:ind w:left="0" w:right="0" w:firstLine="420"/>
        <w:jc w:val="left"/>
        <w:rPr>
          <w:color w:val="404040"/>
        </w:rPr>
      </w:pP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91EFF"/>
    <w:rsid w:val="5C5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2021-05-06T09:12:00Z</dcterms:created>
  <dc:creator>海眠</dc:creator>
  <cp:lastModifiedBy>海眠</cp:lastModifiedBy>
  <dcterms:modified xsi:type="dcterms:W3CDTF">2021-05-06T09:13:42Z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F50BAFF72267434AA488AE6138AB26BF</vt:lpwstr>
  </property>
</Properties>
</file>